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moyenne1-Accent3"/>
        <w:tblW w:w="0" w:type="auto"/>
        <w:tblLook w:val="04A0"/>
      </w:tblPr>
      <w:tblGrid>
        <w:gridCol w:w="1809"/>
        <w:gridCol w:w="6637"/>
      </w:tblGrid>
      <w:tr w:rsidR="00016E0C" w:rsidRPr="00E9499F" w:rsidTr="00D753F9">
        <w:trPr>
          <w:cnfStyle w:val="100000000000"/>
        </w:trPr>
        <w:tc>
          <w:tcPr>
            <w:cnfStyle w:val="001000000000"/>
            <w:tcW w:w="1809" w:type="dxa"/>
          </w:tcPr>
          <w:p w:rsidR="00016E0C" w:rsidRPr="00E9499F" w:rsidRDefault="00B6544A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6637" w:type="dxa"/>
          </w:tcPr>
          <w:p w:rsidR="00016E0C" w:rsidRPr="00E9499F" w:rsidRDefault="00AD6E43" w:rsidP="009C52FF">
            <w:pPr>
              <w:jc w:val="both"/>
              <w:cnfStyle w:val="10000000000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</w:t>
            </w:r>
            <w:r w:rsidR="00B6544A"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xe réel a</w:t>
            </w:r>
          </w:p>
        </w:tc>
      </w:tr>
      <w:tr w:rsidR="00BC0310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BC0310" w:rsidRPr="00E9499F" w:rsidRDefault="00BC0310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6637" w:type="dxa"/>
          </w:tcPr>
          <w:p w:rsidR="00BC0310" w:rsidRPr="00E9499F" w:rsidRDefault="00BC0310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Operateur complexe</w:t>
            </w:r>
          </w:p>
        </w:tc>
      </w:tr>
      <w:tr w:rsidR="00B6544A" w:rsidRPr="00E9499F" w:rsidTr="00103BD8">
        <w:tc>
          <w:tcPr>
            <w:cnfStyle w:val="001000000000"/>
            <w:tcW w:w="1809" w:type="dxa"/>
          </w:tcPr>
          <w:p w:rsidR="00B6544A" w:rsidRPr="00E9499F" w:rsidRDefault="00B6544A" w:rsidP="00103BD8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6637" w:type="dxa"/>
          </w:tcPr>
          <w:p w:rsidR="00B6544A" w:rsidRPr="00E9499F" w:rsidRDefault="00B6544A" w:rsidP="00103BD8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Ampères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103BD8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AC</w:t>
            </w:r>
          </w:p>
        </w:tc>
        <w:tc>
          <w:tcPr>
            <w:tcW w:w="6637" w:type="dxa"/>
          </w:tcPr>
          <w:p w:rsidR="00AD6E43" w:rsidRPr="00E9499F" w:rsidRDefault="00AD6E43" w:rsidP="00103BD8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Alternatif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ASVC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Advenced Static Var Condenser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Susceptance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Induction Magnétique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Indice de l’unité de base</w:t>
            </w:r>
          </w:p>
        </w:tc>
      </w:tr>
      <w:tr w:rsidR="009E3079" w:rsidRPr="00E9499F" w:rsidTr="00D753F9">
        <w:tc>
          <w:tcPr>
            <w:cnfStyle w:val="001000000000"/>
            <w:tcW w:w="1809" w:type="dxa"/>
          </w:tcPr>
          <w:p w:rsidR="009E3079" w:rsidRPr="00E9499F" w:rsidRDefault="009E3079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</w:p>
        </w:tc>
        <w:tc>
          <w:tcPr>
            <w:tcW w:w="6637" w:type="dxa"/>
          </w:tcPr>
          <w:p w:rsidR="009E3079" w:rsidRPr="00E9499F" w:rsidRDefault="009E3079" w:rsidP="009E3079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Axe réel b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  <w:t>K</w:t>
            </w:r>
          </w:p>
        </w:tc>
        <w:tc>
          <w:tcPr>
            <w:tcW w:w="6637" w:type="dxa"/>
          </w:tcPr>
          <w:p w:rsidR="00AD6E43" w:rsidRPr="00E9499F" w:rsidRDefault="00AD6E43" w:rsidP="00AD6E4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 xml:space="preserve">Commande de l’interrupteur 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BT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Basse Tension</w:t>
            </w:r>
          </w:p>
        </w:tc>
      </w:tr>
      <w:tr w:rsidR="009E3079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9E3079" w:rsidRPr="00E9499F" w:rsidRDefault="009E3079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6637" w:type="dxa"/>
          </w:tcPr>
          <w:p w:rsidR="009E3079" w:rsidRPr="00E9499F" w:rsidRDefault="009E3079" w:rsidP="009E3079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Axe réel c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Capacité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Cm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Couple Mécanique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Cp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Coefficient de Puissance</w:t>
            </w:r>
          </w:p>
        </w:tc>
      </w:tr>
      <w:tr w:rsidR="003A3040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3A3040" w:rsidRPr="003A3040" w:rsidRDefault="003A3040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3A3040">
              <w:rPr>
                <w:rFonts w:ascii="Times New Roman" w:hAnsi="Times New Roman" w:cs="Times New Roman"/>
                <w:b w:val="0"/>
                <w:bCs w:val="0"/>
              </w:rPr>
              <w:t>C</w:t>
            </w:r>
            <w:r w:rsidRPr="003A3040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P</w:t>
            </w:r>
          </w:p>
        </w:tc>
        <w:tc>
          <w:tcPr>
            <w:tcW w:w="6637" w:type="dxa"/>
          </w:tcPr>
          <w:p w:rsidR="003A3040" w:rsidRPr="003A3040" w:rsidRDefault="003A3040" w:rsidP="003A3040">
            <w:pPr>
              <w:ind w:right="-2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La capacité thermique molaire à pression constante [J.K</w:t>
            </w:r>
            <w:r w:rsidRPr="0063309A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3309A">
              <w:rPr>
                <w:rFonts w:ascii="Times New Roman" w:hAnsi="Times New Roman" w:cs="Times New Roman"/>
              </w:rPr>
              <w:t>.mol</w:t>
            </w:r>
            <w:r w:rsidRPr="0063309A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3309A">
              <w:rPr>
                <w:rFonts w:ascii="Times New Roman" w:hAnsi="Times New Roman" w:cs="Times New Roman"/>
              </w:rPr>
              <w:t>]</w:t>
            </w:r>
          </w:p>
        </w:tc>
      </w:tr>
      <w:tr w:rsidR="00336AB1" w:rsidRPr="00E9499F" w:rsidTr="00D753F9">
        <w:tc>
          <w:tcPr>
            <w:cnfStyle w:val="001000000000"/>
            <w:tcW w:w="1809" w:type="dxa"/>
          </w:tcPr>
          <w:p w:rsidR="00336AB1" w:rsidRPr="00336AB1" w:rsidRDefault="00336AB1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</w:pPr>
            <w:r w:rsidRPr="00336AB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  <w:t>V</w:t>
            </w:r>
          </w:p>
        </w:tc>
        <w:tc>
          <w:tcPr>
            <w:tcW w:w="6637" w:type="dxa"/>
          </w:tcPr>
          <w:p w:rsidR="00336AB1" w:rsidRPr="00336AB1" w:rsidRDefault="00336AB1" w:rsidP="00336AB1">
            <w:pPr>
              <w:ind w:right="-2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63309A">
              <w:rPr>
                <w:rFonts w:ascii="Times New Roman" w:hAnsi="Times New Roman" w:cs="Times New Roman"/>
              </w:rPr>
              <w:t>La capacité thermique molaire à volume constant [J.K</w:t>
            </w:r>
            <w:r w:rsidRPr="0063309A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3309A">
              <w:rPr>
                <w:rFonts w:ascii="Times New Roman" w:hAnsi="Times New Roman" w:cs="Times New Roman"/>
              </w:rPr>
              <w:t>.mol</w:t>
            </w:r>
            <w:r w:rsidRPr="0063309A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3309A">
              <w:rPr>
                <w:rFonts w:ascii="Times New Roman" w:hAnsi="Times New Roman" w:cs="Times New Roman"/>
              </w:rPr>
              <w:t>]</w:t>
            </w:r>
          </w:p>
        </w:tc>
      </w:tr>
      <w:tr w:rsidR="0063534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63534E" w:rsidRPr="00E9499F" w:rsidRDefault="0063534E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</w:t>
            </w:r>
          </w:p>
        </w:tc>
        <w:tc>
          <w:tcPr>
            <w:tcW w:w="6637" w:type="dxa"/>
          </w:tcPr>
          <w:p w:rsidR="0063534E" w:rsidRPr="00E9499F" w:rsidRDefault="0063534E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l’axe d du référentiel tournant d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Distorsion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DC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Continu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C14495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Theme="majorBidi" w:cstheme="majorBidi"/>
                        <w:b w:val="0"/>
                        <w:bCs w:val="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Energie Cinétique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Fréquence</w:t>
            </w:r>
          </w:p>
        </w:tc>
      </w:tr>
      <w:tr w:rsidR="00DE4B23" w:rsidRPr="00E9499F" w:rsidTr="00D753F9">
        <w:tc>
          <w:tcPr>
            <w:cnfStyle w:val="001000000000"/>
            <w:tcW w:w="1809" w:type="dxa"/>
          </w:tcPr>
          <w:p w:rsidR="00DE4B23" w:rsidRPr="00E9499F" w:rsidRDefault="00DE4B2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FAP</w:t>
            </w:r>
          </w:p>
        </w:tc>
        <w:tc>
          <w:tcPr>
            <w:tcW w:w="6637" w:type="dxa"/>
          </w:tcPr>
          <w:p w:rsidR="00DE4B23" w:rsidRPr="00E9499F" w:rsidRDefault="00DE4B2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Filtre actif parallèle</w:t>
            </w:r>
          </w:p>
        </w:tc>
      </w:tr>
      <w:tr w:rsidR="00DE4B2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DE4B23" w:rsidRPr="00E9499F" w:rsidRDefault="00DE4B2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FAS</w:t>
            </w:r>
          </w:p>
        </w:tc>
        <w:tc>
          <w:tcPr>
            <w:tcW w:w="6637" w:type="dxa"/>
          </w:tcPr>
          <w:p w:rsidR="00DE4B23" w:rsidRPr="00E9499F" w:rsidRDefault="00DE4B2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Filtre actif série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Glissement</w:t>
            </w:r>
          </w:p>
        </w:tc>
      </w:tr>
      <w:tr w:rsidR="00BC0310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Glissement</w:t>
            </w:r>
          </w:p>
        </w:tc>
      </w:tr>
      <w:tr w:rsidR="00AD6E4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GADA</w:t>
            </w:r>
          </w:p>
        </w:tc>
        <w:tc>
          <w:tcPr>
            <w:tcW w:w="6637" w:type="dxa"/>
          </w:tcPr>
          <w:p w:rsidR="00AD6E43" w:rsidRPr="00E9499F" w:rsidRDefault="00AD6E43" w:rsidP="00CD6B2E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Générateur Asynchrone à Double Alimentation</w:t>
            </w:r>
          </w:p>
        </w:tc>
      </w:tr>
      <w:tr w:rsidR="00AD6E4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GD</w:t>
            </w:r>
          </w:p>
        </w:tc>
        <w:tc>
          <w:tcPr>
            <w:tcW w:w="6637" w:type="dxa"/>
          </w:tcPr>
          <w:p w:rsidR="00AD6E43" w:rsidRPr="00E9499F" w:rsidRDefault="00AD6E43" w:rsidP="0038436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Génération dispersée</w:t>
            </w:r>
          </w:p>
        </w:tc>
      </w:tr>
      <w:tr w:rsidR="00B6544A" w:rsidRPr="00E9499F" w:rsidTr="00103BD8">
        <w:tc>
          <w:tcPr>
            <w:cnfStyle w:val="001000000000"/>
            <w:tcW w:w="1809" w:type="dxa"/>
          </w:tcPr>
          <w:p w:rsidR="00AD6E43" w:rsidRPr="00E9499F" w:rsidRDefault="00AD6E43" w:rsidP="00103BD8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GTO</w:t>
            </w:r>
          </w:p>
        </w:tc>
        <w:tc>
          <w:tcPr>
            <w:tcW w:w="6637" w:type="dxa"/>
          </w:tcPr>
          <w:p w:rsidR="00AD6E43" w:rsidRPr="00E9499F" w:rsidRDefault="00AD6E43" w:rsidP="00103BD8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Gate Turn Off</w:t>
            </w:r>
          </w:p>
        </w:tc>
      </w:tr>
      <w:tr w:rsidR="00DF67A3" w:rsidRPr="00E9499F" w:rsidTr="0054318E">
        <w:trPr>
          <w:cnfStyle w:val="000000100000"/>
        </w:trPr>
        <w:tc>
          <w:tcPr>
            <w:cnfStyle w:val="001000000000"/>
            <w:tcW w:w="1809" w:type="dxa"/>
          </w:tcPr>
          <w:p w:rsidR="00DF67A3" w:rsidRPr="00E9499F" w:rsidRDefault="00DF67A3" w:rsidP="0054318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</w:t>
            </w:r>
          </w:p>
        </w:tc>
        <w:tc>
          <w:tcPr>
            <w:tcW w:w="6637" w:type="dxa"/>
          </w:tcPr>
          <w:p w:rsidR="00DF67A3" w:rsidRPr="00E9499F" w:rsidRDefault="00DF67A3" w:rsidP="0054318E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>Hauteur du mat</w:t>
            </w:r>
          </w:p>
        </w:tc>
      </w:tr>
      <w:tr w:rsidR="00DF67A3" w:rsidRPr="00E9499F" w:rsidTr="0054318E">
        <w:tc>
          <w:tcPr>
            <w:cnfStyle w:val="001000000000"/>
            <w:tcW w:w="1809" w:type="dxa"/>
          </w:tcPr>
          <w:p w:rsidR="00DF67A3" w:rsidRPr="00E9499F" w:rsidRDefault="00DF67A3" w:rsidP="0054318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</w:t>
            </w:r>
          </w:p>
        </w:tc>
        <w:tc>
          <w:tcPr>
            <w:tcW w:w="6637" w:type="dxa"/>
          </w:tcPr>
          <w:p w:rsidR="00DF67A3" w:rsidRPr="00DF67A3" w:rsidRDefault="00DF67A3" w:rsidP="00DF67A3">
            <w:pPr>
              <w:ind w:left="1418" w:right="-2" w:hanging="1418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 xml:space="preserve">L’enthalpie du corps étudié en Joules [J] </w:t>
            </w:r>
          </w:p>
        </w:tc>
      </w:tr>
      <w:tr w:rsidR="00DE4B2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AD6E43" w:rsidRPr="00E9499F" w:rsidRDefault="00C14495" w:rsidP="009C52F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 w:val="0"/>
                      <w:bCs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mes</m:t>
                  </m:r>
                </m:sub>
              </m:sSub>
            </m:oMath>
            <w:r w:rsidR="00AD6E43" w:rsidRPr="00E9499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>hauteur des appareils de mesure</w:t>
            </w:r>
          </w:p>
        </w:tc>
      </w:tr>
      <w:tr w:rsidR="00DE4B23" w:rsidRPr="00E9499F" w:rsidTr="00D753F9">
        <w:tc>
          <w:tcPr>
            <w:cnfStyle w:val="001000000000"/>
            <w:tcW w:w="1809" w:type="dxa"/>
          </w:tcPr>
          <w:p w:rsidR="00AD6E43" w:rsidRPr="00E9499F" w:rsidRDefault="00AD6E43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</w:t>
            </w:r>
          </w:p>
        </w:tc>
        <w:tc>
          <w:tcPr>
            <w:tcW w:w="6637" w:type="dxa"/>
          </w:tcPr>
          <w:p w:rsidR="00AD6E43" w:rsidRPr="00E9499F" w:rsidRDefault="00AD6E43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électrique</w:t>
            </w:r>
            <w:r w:rsidR="008E5D28" w:rsidRPr="00E9499F">
              <w:rPr>
                <w:rFonts w:asciiTheme="majorBidi" w:hAnsiTheme="majorBidi" w:cstheme="majorBidi"/>
                <w:sz w:val="24"/>
                <w:szCs w:val="24"/>
              </w:rPr>
              <w:t xml:space="preserve"> Continu</w:t>
            </w:r>
          </w:p>
        </w:tc>
      </w:tr>
      <w:tr w:rsidR="008E5D28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8E5D28" w:rsidRPr="00E9499F" w:rsidRDefault="00766AA2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 (t)</w:t>
            </w:r>
          </w:p>
        </w:tc>
        <w:tc>
          <w:tcPr>
            <w:tcW w:w="6637" w:type="dxa"/>
          </w:tcPr>
          <w:p w:rsidR="008E5D28" w:rsidRPr="00E9499F" w:rsidRDefault="008E5D28" w:rsidP="008E5D28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électrique alternatif</w:t>
            </w:r>
          </w:p>
        </w:tc>
      </w:tr>
      <w:tr w:rsidR="008E5D28" w:rsidRPr="00E9499F" w:rsidTr="00D753F9">
        <w:tc>
          <w:tcPr>
            <w:cnfStyle w:val="001000000000"/>
            <w:tcW w:w="1809" w:type="dxa"/>
          </w:tcPr>
          <w:p w:rsidR="008E5D28" w:rsidRPr="00E9499F" w:rsidRDefault="00766AA2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Ia</w:t>
            </w:r>
          </w:p>
        </w:tc>
        <w:tc>
          <w:tcPr>
            <w:tcW w:w="6637" w:type="dxa"/>
          </w:tcPr>
          <w:p w:rsidR="008E5D28" w:rsidRPr="00E9499F" w:rsidRDefault="00EB14EF" w:rsidP="008E5D28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766AA2" w:rsidRPr="00E9499F">
              <w:rPr>
                <w:rFonts w:asciiTheme="majorBidi" w:hAnsiTheme="majorBidi" w:cstheme="majorBidi"/>
                <w:sz w:val="24"/>
                <w:szCs w:val="24"/>
              </w:rPr>
              <w:t>ourant de la phase a</w:t>
            </w:r>
          </w:p>
        </w:tc>
      </w:tr>
      <w:tr w:rsidR="00766AA2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766AA2" w:rsidRPr="00E9499F" w:rsidRDefault="00766AA2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Ib</w:t>
            </w:r>
          </w:p>
        </w:tc>
        <w:tc>
          <w:tcPr>
            <w:tcW w:w="6637" w:type="dxa"/>
          </w:tcPr>
          <w:p w:rsidR="00766AA2" w:rsidRPr="00E9499F" w:rsidRDefault="00EB14EF" w:rsidP="00766AA2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766AA2" w:rsidRPr="00E9499F">
              <w:rPr>
                <w:rFonts w:asciiTheme="majorBidi" w:hAnsiTheme="majorBidi" w:cstheme="majorBidi"/>
                <w:sz w:val="24"/>
                <w:szCs w:val="24"/>
              </w:rPr>
              <w:t>ourant de la phase b</w:t>
            </w:r>
          </w:p>
        </w:tc>
      </w:tr>
      <w:tr w:rsidR="00766AA2" w:rsidRPr="00E9499F" w:rsidTr="00D753F9">
        <w:tc>
          <w:tcPr>
            <w:cnfStyle w:val="001000000000"/>
            <w:tcW w:w="1809" w:type="dxa"/>
          </w:tcPr>
          <w:p w:rsidR="00766AA2" w:rsidRPr="00E9499F" w:rsidRDefault="00EB14EF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Ic</w:t>
            </w:r>
          </w:p>
        </w:tc>
        <w:tc>
          <w:tcPr>
            <w:tcW w:w="6637" w:type="dxa"/>
          </w:tcPr>
          <w:p w:rsidR="00766AA2" w:rsidRPr="00E9499F" w:rsidRDefault="00EB14EF" w:rsidP="00EB14E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de la phase c</w:t>
            </w:r>
          </w:p>
        </w:tc>
      </w:tr>
      <w:tr w:rsidR="00EB14EF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B14EF" w:rsidRPr="00E9499F" w:rsidRDefault="00EB14EF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Id</w:t>
            </w:r>
          </w:p>
        </w:tc>
        <w:tc>
          <w:tcPr>
            <w:tcW w:w="6637" w:type="dxa"/>
          </w:tcPr>
          <w:p w:rsidR="00EB14EF" w:rsidRPr="00E9499F" w:rsidRDefault="009B6744" w:rsidP="00EB14E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en grandeur symétrique directe</w:t>
            </w:r>
          </w:p>
        </w:tc>
      </w:tr>
      <w:tr w:rsidR="009B6744" w:rsidRPr="00E9499F" w:rsidTr="00D753F9">
        <w:tc>
          <w:tcPr>
            <w:cnfStyle w:val="001000000000"/>
            <w:tcW w:w="1809" w:type="dxa"/>
          </w:tcPr>
          <w:p w:rsidR="009B6744" w:rsidRPr="00E9499F" w:rsidRDefault="0014602E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Ih</w:t>
            </w:r>
          </w:p>
        </w:tc>
        <w:tc>
          <w:tcPr>
            <w:tcW w:w="6637" w:type="dxa"/>
          </w:tcPr>
          <w:p w:rsidR="009B6744" w:rsidRPr="00E9499F" w:rsidRDefault="009B6744" w:rsidP="0014602E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 xml:space="preserve">Courant en grandeur symétrique </w:t>
            </w:r>
            <w:r w:rsidR="0014602E" w:rsidRPr="00E9499F">
              <w:rPr>
                <w:rFonts w:asciiTheme="majorBidi" w:hAnsiTheme="majorBidi" w:cstheme="majorBidi"/>
                <w:sz w:val="24"/>
                <w:szCs w:val="24"/>
              </w:rPr>
              <w:t>homopolaire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Ii</w:t>
            </w:r>
          </w:p>
        </w:tc>
        <w:tc>
          <w:tcPr>
            <w:tcW w:w="6637" w:type="dxa"/>
          </w:tcPr>
          <w:p w:rsidR="0014602E" w:rsidRPr="00E9499F" w:rsidRDefault="0014602E" w:rsidP="00103BD8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en grandeur symétrique inverse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IGBT</w:t>
            </w:r>
          </w:p>
        </w:tc>
        <w:tc>
          <w:tcPr>
            <w:tcW w:w="6637" w:type="dxa"/>
          </w:tcPr>
          <w:p w:rsidR="0014602E" w:rsidRPr="00E9499F" w:rsidRDefault="0014602E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Insulate Gate Bipolar Transistor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IL</w:t>
            </w:r>
          </w:p>
        </w:tc>
        <w:tc>
          <w:tcPr>
            <w:tcW w:w="6637" w:type="dxa"/>
          </w:tcPr>
          <w:p w:rsidR="0014602E" w:rsidRPr="00E9499F" w:rsidRDefault="0014602E" w:rsidP="009C52FF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de charge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9C52FF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IS</w:t>
            </w:r>
          </w:p>
        </w:tc>
        <w:tc>
          <w:tcPr>
            <w:tcW w:w="6637" w:type="dxa"/>
          </w:tcPr>
          <w:p w:rsidR="0014602E" w:rsidRPr="00E9499F" w:rsidRDefault="0014602E" w:rsidP="009C52FF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de source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ISL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 xml:space="preserve">Courant </w:t>
            </w:r>
            <w:r w:rsidRPr="00E9499F">
              <w:t>de la charge variable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Courant nominal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Jt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Moment d’inertie de la turbine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Jm</w:t>
            </w:r>
          </w:p>
        </w:tc>
        <w:tc>
          <w:tcPr>
            <w:tcW w:w="6637" w:type="dxa"/>
          </w:tcPr>
          <w:p w:rsidR="0014602E" w:rsidRPr="00E9499F" w:rsidRDefault="0014602E" w:rsidP="00C85B09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Moment d’inertie de la MADA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k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Facteur de forme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Inductance</w:t>
            </w:r>
          </w:p>
        </w:tc>
      </w:tr>
      <w:tr w:rsidR="00BC0310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L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Charge (Load)</w:t>
            </w:r>
          </w:p>
        </w:tc>
      </w:tr>
      <w:tr w:rsidR="000F6636" w:rsidRPr="00E9499F" w:rsidTr="00D753F9">
        <w:tc>
          <w:tcPr>
            <w:cnfStyle w:val="001000000000"/>
            <w:tcW w:w="1809" w:type="dxa"/>
          </w:tcPr>
          <w:p w:rsidR="000F6636" w:rsidRPr="000F6636" w:rsidRDefault="000F6636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</w:t>
            </w:r>
          </w:p>
        </w:tc>
        <w:tc>
          <w:tcPr>
            <w:tcW w:w="6637" w:type="dxa"/>
          </w:tcPr>
          <w:p w:rsidR="000F6636" w:rsidRPr="00E9499F" w:rsidRDefault="000F6636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63309A">
              <w:rPr>
                <w:rFonts w:ascii="Times New Roman" w:hAnsi="Times New Roman" w:cs="Times New Roman"/>
              </w:rPr>
              <w:t>La masse du corps en kilogrammes [kg]</w:t>
            </w:r>
          </w:p>
        </w:tc>
      </w:tr>
      <w:tr w:rsidR="00BC0310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Masse de l’air</w:t>
            </w:r>
          </w:p>
        </w:tc>
      </w:tr>
      <w:tr w:rsidR="00BC0310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MADA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Machine Asynchrone à Double Alimentation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MAS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Machine Asynchrone</w:t>
            </w:r>
          </w:p>
        </w:tc>
      </w:tr>
      <w:tr w:rsidR="00BC0310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MCC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Machine à Courant Continu</w:t>
            </w:r>
          </w:p>
        </w:tc>
      </w:tr>
      <w:tr w:rsidR="00BC0310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MLI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Modulation de largeur d’impulsion</w:t>
            </w:r>
          </w:p>
        </w:tc>
      </w:tr>
      <w:tr w:rsidR="00BC0310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MT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Moyenne Tension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Neutre</w:t>
            </w:r>
          </w:p>
        </w:tc>
      </w:tr>
      <w:tr w:rsidR="00336AB1" w:rsidRPr="00E9499F" w:rsidTr="00D753F9">
        <w:tc>
          <w:tcPr>
            <w:cnfStyle w:val="001000000000"/>
            <w:tcW w:w="1809" w:type="dxa"/>
          </w:tcPr>
          <w:p w:rsidR="00336AB1" w:rsidRPr="00336AB1" w:rsidRDefault="00336AB1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336AB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6637" w:type="dxa"/>
          </w:tcPr>
          <w:p w:rsidR="00336AB1" w:rsidRPr="00336AB1" w:rsidRDefault="00336AB1" w:rsidP="00336AB1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Le nombre de moles du corps [mol]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NPC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Neutral Point Clamped</w:t>
            </w:r>
          </w:p>
        </w:tc>
      </w:tr>
      <w:tr w:rsidR="00284173" w:rsidRPr="00E9499F" w:rsidTr="00D753F9">
        <w:tc>
          <w:tcPr>
            <w:cnfStyle w:val="001000000000"/>
            <w:tcW w:w="1809" w:type="dxa"/>
          </w:tcPr>
          <w:p w:rsidR="00284173" w:rsidRPr="00284173" w:rsidRDefault="00284173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8417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6637" w:type="dxa"/>
          </w:tcPr>
          <w:p w:rsidR="00284173" w:rsidRPr="00284173" w:rsidRDefault="00284173" w:rsidP="00284173">
            <w:pPr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La pression du corps en pascals [Pa]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eastAsiaTheme="minorEastAsia" w:hAnsiTheme="majorBidi" w:cstheme="majorBidi"/>
                <w:sz w:val="24"/>
                <w:szCs w:val="24"/>
              </w:rPr>
              <w:t>nombres de bras du redresseur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active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Po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de consigne</w:t>
            </w:r>
          </w:p>
        </w:tc>
      </w:tr>
      <w:tr w:rsidR="0014602E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PLD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  active au niveau de la charge constante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PSL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  active au niveau de la charge variable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C14495" w:rsidP="00053EF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Theme="majorBidi" w:cstheme="majorBidi"/>
                        <w:b w:val="0"/>
                        <w:bCs w:val="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637" w:type="dxa"/>
          </w:tcPr>
          <w:p w:rsidR="0014602E" w:rsidRPr="00E9499F" w:rsidRDefault="0014602E" w:rsidP="00053EF3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>Puissance incidente sur le rotor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C14495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Theme="majorBidi" w:cstheme="majorBidi"/>
                        <w:b w:val="0"/>
                        <w:bCs w:val="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>l’énergie maximale susceptible d’être recueillie par un aérogénérateur</w:t>
            </w:r>
          </w:p>
        </w:tc>
      </w:tr>
      <w:tr w:rsidR="0014602E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vertAlign w:val="subscript"/>
              </w:rPr>
            </w:pPr>
            <w:r w:rsidRPr="00E9499F"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P</w:t>
            </w:r>
            <w:r w:rsidRPr="00E9499F"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>Puissance mécanique sur l’arbre de la turbine</w:t>
            </w:r>
          </w:p>
        </w:tc>
      </w:tr>
      <w:tr w:rsidR="0014602E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PWT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La puissance générée par l’aérogénérateur</w:t>
            </w:r>
          </w:p>
        </w:tc>
      </w:tr>
      <w:tr w:rsidR="0014602E" w:rsidRPr="00E9499F" w:rsidTr="00D753F9"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q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l’axe d du référentiel tournant q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Q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réactive</w:t>
            </w:r>
          </w:p>
        </w:tc>
      </w:tr>
      <w:tr w:rsidR="0014602E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Résistance de la ligne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Résistance</w:t>
            </w:r>
          </w:p>
        </w:tc>
      </w:tr>
      <w:tr w:rsidR="0014602E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Rayon de l’aérogénérateur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Surface circulaire balayée par la turbine</w:t>
            </w:r>
          </w:p>
        </w:tc>
      </w:tr>
      <w:tr w:rsidR="0014602E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Apparente</w:t>
            </w:r>
          </w:p>
        </w:tc>
      </w:tr>
      <w:tr w:rsidR="00DF67A3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DF67A3" w:rsidRPr="00E9499F" w:rsidRDefault="00DF67A3" w:rsidP="0054318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</w:t>
            </w:r>
          </w:p>
        </w:tc>
        <w:tc>
          <w:tcPr>
            <w:tcW w:w="6637" w:type="dxa"/>
          </w:tcPr>
          <w:p w:rsidR="00DF67A3" w:rsidRPr="00E9499F" w:rsidRDefault="00DF67A3" w:rsidP="00DF67A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composée</w:t>
            </w:r>
          </w:p>
        </w:tc>
      </w:tr>
      <w:tr w:rsidR="00DF67A3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DF67A3" w:rsidRPr="00284173" w:rsidRDefault="00DF67A3" w:rsidP="0054318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8417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</w:t>
            </w:r>
          </w:p>
        </w:tc>
        <w:tc>
          <w:tcPr>
            <w:tcW w:w="6637" w:type="dxa"/>
          </w:tcPr>
          <w:p w:rsidR="00DF67A3" w:rsidRPr="00DF67A3" w:rsidRDefault="00DF67A3" w:rsidP="00DF67A3">
            <w:pPr>
              <w:ind w:left="1418" w:right="-2" w:hanging="1418"/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L’énergie interne du corps étudié en Joules [J]</w:t>
            </w:r>
          </w:p>
        </w:tc>
      </w:tr>
      <w:tr w:rsidR="0014602E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</w:t>
            </w:r>
          </w:p>
        </w:tc>
        <w:tc>
          <w:tcPr>
            <w:tcW w:w="6637" w:type="dxa"/>
          </w:tcPr>
          <w:p w:rsidR="0014602E" w:rsidRPr="00E9499F" w:rsidRDefault="0014602E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simple</w:t>
            </w:r>
          </w:p>
        </w:tc>
      </w:tr>
      <w:tr w:rsidR="00A17917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A17917" w:rsidRPr="00A17917" w:rsidRDefault="00A17917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17917">
              <w:rPr>
                <w:rFonts w:ascii="Times New Roman" w:hAnsi="Times New Roman" w:cs="Times New Roman"/>
                <w:b w:val="0"/>
                <w:bCs w:val="0"/>
              </w:rPr>
              <w:t>V</w:t>
            </w:r>
            <w:r w:rsidRPr="00A17917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A</w:t>
            </w:r>
          </w:p>
        </w:tc>
        <w:tc>
          <w:tcPr>
            <w:tcW w:w="6637" w:type="dxa"/>
          </w:tcPr>
          <w:p w:rsidR="00A17917" w:rsidRPr="00E9499F" w:rsidRDefault="00A17917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BB5C05">
              <w:rPr>
                <w:rFonts w:ascii="Times New Roman" w:hAnsi="Times New Roman" w:cs="Times New Roman"/>
              </w:rPr>
              <w:t>Le volume du corps dans l’état A en mètres</w:t>
            </w:r>
            <w:r w:rsidRPr="00BB5C05">
              <w:rPr>
                <w:rFonts w:ascii="Times New Roman" w:hAnsi="Times New Roman" w:cs="Times New Roman"/>
                <w:vertAlign w:val="superscript"/>
              </w:rPr>
              <w:t>3</w:t>
            </w:r>
            <w:r w:rsidRPr="00BB5C05">
              <w:rPr>
                <w:rFonts w:ascii="Times New Roman" w:hAnsi="Times New Roman" w:cs="Times New Roman"/>
              </w:rPr>
              <w:t xml:space="preserve"> [m</w:t>
            </w:r>
            <w:r w:rsidRPr="00BB5C05">
              <w:rPr>
                <w:rFonts w:ascii="Times New Roman" w:hAnsi="Times New Roman" w:cs="Times New Roman"/>
                <w:vertAlign w:val="superscript"/>
              </w:rPr>
              <w:t>3</w:t>
            </w:r>
            <w:r w:rsidRPr="00BB5C05">
              <w:rPr>
                <w:rFonts w:ascii="Times New Roman" w:hAnsi="Times New Roman" w:cs="Times New Roman"/>
              </w:rPr>
              <w:t>]</w:t>
            </w:r>
          </w:p>
        </w:tc>
      </w:tr>
      <w:tr w:rsidR="00A17917" w:rsidRPr="00E9499F" w:rsidTr="0054318E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A17917" w:rsidRPr="00A17917" w:rsidRDefault="00A17917" w:rsidP="0054318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</w:pPr>
            <w:r w:rsidRPr="00A1791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</w:t>
            </w:r>
            <w:r w:rsidRPr="00A1791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6637" w:type="dxa"/>
          </w:tcPr>
          <w:p w:rsidR="00A17917" w:rsidRPr="00A17917" w:rsidRDefault="00A17917" w:rsidP="0054318E">
            <w:pPr>
              <w:cnfStyle w:val="000000100000"/>
              <w:rPr>
                <w:rFonts w:ascii="Times New Roman" w:hAnsi="Times New Roman" w:cs="Times New Roman"/>
              </w:rPr>
            </w:pPr>
            <w:r w:rsidRPr="00BB5C05">
              <w:rPr>
                <w:rFonts w:ascii="Times New Roman" w:hAnsi="Times New Roman" w:cs="Times New Roman"/>
              </w:rPr>
              <w:t>Le volume du corps dans l’état B en mètres</w:t>
            </w:r>
            <w:r w:rsidRPr="00BB5C05">
              <w:rPr>
                <w:rFonts w:ascii="Times New Roman" w:hAnsi="Times New Roman" w:cs="Times New Roman"/>
                <w:vertAlign w:val="superscript"/>
              </w:rPr>
              <w:t>3</w:t>
            </w:r>
            <w:r w:rsidRPr="00BB5C05">
              <w:rPr>
                <w:rFonts w:ascii="Times New Roman" w:hAnsi="Times New Roman" w:cs="Times New Roman"/>
              </w:rPr>
              <w:t xml:space="preserve"> [m</w:t>
            </w:r>
            <w:r w:rsidRPr="00BB5C05">
              <w:rPr>
                <w:rFonts w:ascii="Times New Roman" w:hAnsi="Times New Roman" w:cs="Times New Roman"/>
                <w:vertAlign w:val="superscript"/>
              </w:rPr>
              <w:t>3</w:t>
            </w:r>
            <w:r w:rsidRPr="00BB5C05">
              <w:rPr>
                <w:rFonts w:ascii="Times New Roman" w:hAnsi="Times New Roman" w:cs="Times New Roman"/>
              </w:rPr>
              <w:t>]</w:t>
            </w:r>
          </w:p>
        </w:tc>
      </w:tr>
      <w:tr w:rsidR="00A17917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</w:t>
            </w: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637" w:type="dxa"/>
          </w:tcPr>
          <w:p w:rsidR="0014602E" w:rsidRPr="00E9499F" w:rsidRDefault="0014602E" w:rsidP="009E57E8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Vitesse du vent à l’avant de l’éolienne</w:t>
            </w:r>
          </w:p>
        </w:tc>
      </w:tr>
      <w:tr w:rsidR="00A17917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14602E" w:rsidRPr="00E9499F" w:rsidRDefault="0014602E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</w:t>
            </w: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637" w:type="dxa"/>
          </w:tcPr>
          <w:p w:rsidR="0014602E" w:rsidRPr="00E9499F" w:rsidRDefault="0014602E" w:rsidP="009E57E8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Vitesse du vent après passage à travers le rotor</w:t>
            </w:r>
          </w:p>
        </w:tc>
      </w:tr>
      <w:tr w:rsidR="00A17917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Vd</w:t>
            </w:r>
          </w:p>
        </w:tc>
        <w:tc>
          <w:tcPr>
            <w:tcW w:w="6637" w:type="dxa"/>
          </w:tcPr>
          <w:p w:rsidR="00E35F20" w:rsidRPr="00E9499F" w:rsidRDefault="00E35F20" w:rsidP="00103BD8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en grandeur symétrique directe</w:t>
            </w:r>
          </w:p>
        </w:tc>
      </w:tr>
      <w:tr w:rsidR="00A17917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Vh</w:t>
            </w:r>
          </w:p>
        </w:tc>
        <w:tc>
          <w:tcPr>
            <w:tcW w:w="6637" w:type="dxa"/>
          </w:tcPr>
          <w:p w:rsidR="00E35F20" w:rsidRPr="00E9499F" w:rsidRDefault="00E35F20" w:rsidP="00E35F20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en grandeur symétrique homopolaire</w:t>
            </w:r>
          </w:p>
        </w:tc>
      </w:tr>
      <w:tr w:rsidR="00A17917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E35F20" w:rsidRPr="00E9499F" w:rsidRDefault="00EF4A35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</w:t>
            </w:r>
          </w:p>
        </w:tc>
        <w:tc>
          <w:tcPr>
            <w:tcW w:w="6637" w:type="dxa"/>
          </w:tcPr>
          <w:p w:rsidR="00E35F20" w:rsidRPr="00E9499F" w:rsidRDefault="00EF4A35" w:rsidP="00EF4A35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en grandeur symétrique inverse</w:t>
            </w:r>
          </w:p>
        </w:tc>
      </w:tr>
      <w:tr w:rsidR="00A17917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Vinj</w:t>
            </w:r>
          </w:p>
        </w:tc>
        <w:tc>
          <w:tcPr>
            <w:tcW w:w="6637" w:type="dxa"/>
          </w:tcPr>
          <w:p w:rsidR="00E35F20" w:rsidRPr="00E9499F" w:rsidRDefault="00E35F20" w:rsidP="009E57E8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injectée</w:t>
            </w:r>
          </w:p>
        </w:tc>
      </w:tr>
      <w:tr w:rsidR="00A17917" w:rsidRPr="00E9499F" w:rsidTr="00D753F9">
        <w:trPr>
          <w:trHeight w:val="233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VL</w:t>
            </w:r>
          </w:p>
        </w:tc>
        <w:tc>
          <w:tcPr>
            <w:tcW w:w="6637" w:type="dxa"/>
          </w:tcPr>
          <w:p w:rsidR="00E35F20" w:rsidRPr="00E9499F" w:rsidRDefault="00E35F20" w:rsidP="009E57E8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de la charge</w:t>
            </w:r>
          </w:p>
        </w:tc>
      </w:tr>
      <w:tr w:rsidR="00A17917" w:rsidRPr="00E9499F" w:rsidTr="00D753F9">
        <w:trPr>
          <w:cnfStyle w:val="000000100000"/>
          <w:trHeight w:val="233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VS</w:t>
            </w:r>
          </w:p>
        </w:tc>
        <w:tc>
          <w:tcPr>
            <w:tcW w:w="6637" w:type="dxa"/>
          </w:tcPr>
          <w:p w:rsidR="00E35F20" w:rsidRPr="00E9499F" w:rsidRDefault="00E35F20" w:rsidP="009E57E8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de la source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9499F" w:rsidP="00053EF3">
            <w:pPr>
              <w:autoSpaceDE w:val="0"/>
              <w:autoSpaceDN w:val="0"/>
              <w:adjustRightInd w:val="0"/>
              <w:jc w:val="both"/>
              <w:rPr>
                <w:rFonts w:ascii="Cambria Math" w:eastAsiaTheme="minorEastAsia" w:hAnsi="Cambria Math" w:cs="Times New Roman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Ra</m:t>
                </m:r>
              </m:oMath>
            </m:oMathPara>
          </w:p>
        </w:tc>
        <w:tc>
          <w:tcPr>
            <w:tcW w:w="6637" w:type="dxa"/>
          </w:tcPr>
          <w:p w:rsidR="00E35F20" w:rsidRPr="00E9499F" w:rsidRDefault="00E9499F" w:rsidP="00053EF3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Rayon de l’aéroturbine</m:t>
                </m:r>
              </m:oMath>
            </m:oMathPara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9499F" w:rsidP="00053EF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R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Ω </m:t>
                </m:r>
              </m:oMath>
            </m:oMathPara>
          </w:p>
        </w:tc>
        <w:tc>
          <w:tcPr>
            <w:tcW w:w="6637" w:type="dxa"/>
          </w:tcPr>
          <w:p w:rsidR="00E35F20" w:rsidRPr="00E9499F" w:rsidRDefault="00E9499F" w:rsidP="00053EF3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Vitesse de rotation de l'éolienne</m:t>
                </m:r>
              </m:oMath>
            </m:oMathPara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apparente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s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Surface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Scc</w:t>
            </w:r>
          </w:p>
        </w:tc>
        <w:tc>
          <w:tcPr>
            <w:tcW w:w="6637" w:type="dxa"/>
          </w:tcPr>
          <w:p w:rsidR="00E35F20" w:rsidRPr="00E9499F" w:rsidRDefault="00E35F20" w:rsidP="00181ADC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de Court circuit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SE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Surface Balayée par l’hélice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Sn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Puissance apparente nominale</w:t>
            </w:r>
          </w:p>
        </w:tc>
      </w:tr>
      <w:tr w:rsidR="00336AB1" w:rsidRPr="00E9499F" w:rsidTr="0054318E">
        <w:trPr>
          <w:cnfStyle w:val="000000100000"/>
        </w:trPr>
        <w:tc>
          <w:tcPr>
            <w:cnfStyle w:val="001000000000"/>
            <w:tcW w:w="1809" w:type="dxa"/>
          </w:tcPr>
          <w:p w:rsidR="00DF67A3" w:rsidRPr="00E9499F" w:rsidRDefault="00DF67A3" w:rsidP="0054318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6637" w:type="dxa"/>
          </w:tcPr>
          <w:p w:rsidR="00DF67A3" w:rsidRPr="00E9499F" w:rsidRDefault="00DF67A3" w:rsidP="0054318E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Temps</w:t>
            </w:r>
          </w:p>
        </w:tc>
      </w:tr>
      <w:tr w:rsidR="00336AB1" w:rsidRPr="00E9499F" w:rsidTr="0054318E">
        <w:tc>
          <w:tcPr>
            <w:cnfStyle w:val="001000000000"/>
            <w:tcW w:w="1809" w:type="dxa"/>
          </w:tcPr>
          <w:p w:rsidR="00DF67A3" w:rsidRPr="00E9499F" w:rsidRDefault="00DF67A3" w:rsidP="0054318E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6637" w:type="dxa"/>
          </w:tcPr>
          <w:p w:rsidR="00DF67A3" w:rsidRPr="00DF67A3" w:rsidRDefault="00DF67A3" w:rsidP="00DF67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405848">
              <w:rPr>
                <w:rFonts w:ascii="Times New Roman" w:hAnsi="Times New Roman" w:cs="Times New Roman"/>
              </w:rPr>
              <w:t>La température en kelvins [K]</w:t>
            </w:r>
            <w:r w:rsidRPr="00405848">
              <w:rPr>
                <w:rFonts w:ascii="Times New Roman" w:hAnsi="Times New Roman" w:cs="Times New Roman"/>
              </w:rPr>
              <w:tab/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DF67A3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6637" w:type="dxa"/>
          </w:tcPr>
          <w:p w:rsidR="00DF67A3" w:rsidRPr="00E9499F" w:rsidRDefault="00DF67A3" w:rsidP="00DF67A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405848">
              <w:rPr>
                <w:rFonts w:ascii="Times New Roman" w:hAnsi="Times New Roman" w:cs="Times New Roman"/>
              </w:rPr>
              <w:t>La température en en degrés Celsius [°C]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DF67A3" w:rsidRPr="00E9499F" w:rsidRDefault="00E35F20" w:rsidP="00DF67A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THD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Taux global de distorsion harmonique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THDi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Taux de distorsion harmoniques en courant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THDv</w:t>
            </w:r>
          </w:p>
        </w:tc>
        <w:tc>
          <w:tcPr>
            <w:tcW w:w="6637" w:type="dxa"/>
          </w:tcPr>
          <w:p w:rsidR="00E35F20" w:rsidRPr="00E9499F" w:rsidRDefault="00E35F20" w:rsidP="00652254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>Taux de distorsion harmoniques en tension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Un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nominale</w:t>
            </w:r>
          </w:p>
        </w:tc>
      </w:tr>
      <w:tr w:rsidR="00284173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284173" w:rsidRPr="00284173" w:rsidRDefault="00284173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8417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</w:t>
            </w:r>
          </w:p>
        </w:tc>
        <w:tc>
          <w:tcPr>
            <w:tcW w:w="6637" w:type="dxa"/>
          </w:tcPr>
          <w:p w:rsidR="00284173" w:rsidRPr="00284173" w:rsidRDefault="00284173" w:rsidP="00284173">
            <w:pPr>
              <w:cnfStyle w:val="0000001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Le volume du corps en mètres</w:t>
            </w:r>
            <w:r w:rsidRPr="0063309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3309A">
              <w:rPr>
                <w:rFonts w:ascii="Times New Roman" w:hAnsi="Times New Roman" w:cs="Times New Roman"/>
              </w:rPr>
              <w:t xml:space="preserve"> [m</w:t>
            </w:r>
            <w:r w:rsidRPr="0063309A">
              <w:rPr>
                <w:rFonts w:ascii="Times New Roman" w:hAnsi="Times New Roman" w:cs="Times New Roman"/>
                <w:vertAlign w:val="superscript"/>
              </w:rPr>
              <w:t>3</w:t>
            </w:r>
            <w:r w:rsidRPr="0063309A">
              <w:rPr>
                <w:rFonts w:ascii="Times New Roman" w:hAnsi="Times New Roman" w:cs="Times New Roman"/>
              </w:rPr>
              <w:t>]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simple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Vdp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au point de défaut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VL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Tension au borne de la charge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C14495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Theme="majorBidi" w:cstheme="majorBidi"/>
                        <w:b w:val="0"/>
                        <w:bCs w:val="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Vitesse du vent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</w:t>
            </w:r>
          </w:p>
        </w:tc>
        <w:tc>
          <w:tcPr>
            <w:tcW w:w="6637" w:type="dxa"/>
          </w:tcPr>
          <w:p w:rsidR="00E35F20" w:rsidRPr="004A4F14" w:rsidRDefault="00E35F20" w:rsidP="00053EF3">
            <w:pPr>
              <w:tabs>
                <w:tab w:val="left" w:pos="2193"/>
                <w:tab w:val="left" w:pos="5961"/>
              </w:tabs>
              <w:cnfStyle w:val="000000000000"/>
              <w:rPr>
                <w:rFonts w:ascii="Times New Roman" w:hAnsi="Times New Roman" w:cs="Times New Roman"/>
              </w:rPr>
            </w:pPr>
            <w:r w:rsidRPr="004A4F14">
              <w:rPr>
                <w:rFonts w:ascii="Times New Roman" w:hAnsi="Times New Roman" w:cs="Times New Roman"/>
              </w:rPr>
              <w:t>La vitesse mécanique du MADA</w:t>
            </w:r>
          </w:p>
        </w:tc>
      </w:tr>
      <w:tr w:rsidR="004A4F14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4A4F14" w:rsidRPr="004A4F14" w:rsidRDefault="004A4F14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A4F14">
              <w:rPr>
                <w:rFonts w:ascii="Comic Sans MS" w:hAnsi="Comic Sans MS"/>
                <w:b w:val="0"/>
                <w:bCs w:val="0"/>
              </w:rPr>
              <w:t>W</w:t>
            </w:r>
            <w:r w:rsidRPr="004A4F14">
              <w:rPr>
                <w:rFonts w:ascii="Comic Sans MS" w:hAnsi="Comic Sans MS"/>
                <w:b w:val="0"/>
                <w:bCs w:val="0"/>
                <w:vertAlign w:val="subscript"/>
              </w:rPr>
              <w:t>AB</w:t>
            </w:r>
          </w:p>
        </w:tc>
        <w:tc>
          <w:tcPr>
            <w:tcW w:w="6637" w:type="dxa"/>
          </w:tcPr>
          <w:p w:rsidR="004A4F14" w:rsidRPr="00E9499F" w:rsidRDefault="004A4F14" w:rsidP="004A4F14">
            <w:pPr>
              <w:tabs>
                <w:tab w:val="left" w:pos="2193"/>
                <w:tab w:val="left" w:pos="5961"/>
              </w:tabs>
              <w:cnfStyle w:val="000000100000"/>
            </w:pPr>
            <w:r w:rsidRPr="00BB5C05">
              <w:rPr>
                <w:rFonts w:ascii="Times New Roman" w:hAnsi="Times New Roman" w:cs="Times New Roman"/>
              </w:rPr>
              <w:t>La quantité de travail échangée  en Joules [J]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6637" w:type="dxa"/>
          </w:tcPr>
          <w:p w:rsidR="00E35F20" w:rsidRPr="00E9499F" w:rsidRDefault="00E35F20" w:rsidP="0028506D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 xml:space="preserve">Réactance 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Xcc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Réactance de court circuit</w:t>
            </w:r>
          </w:p>
        </w:tc>
      </w:tr>
      <w:tr w:rsidR="00A17917" w:rsidRPr="00E9499F" w:rsidTr="0090623C">
        <w:trPr>
          <w:trHeight w:val="287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Xl</w:t>
            </w:r>
          </w:p>
        </w:tc>
        <w:tc>
          <w:tcPr>
            <w:tcW w:w="6637" w:type="dxa"/>
          </w:tcPr>
          <w:p w:rsidR="00E35F20" w:rsidRPr="00E9499F" w:rsidRDefault="00E35F20" w:rsidP="0090623C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Réactance de  la ligne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Z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Impédance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Zcc</w:t>
            </w:r>
          </w:p>
        </w:tc>
        <w:tc>
          <w:tcPr>
            <w:tcW w:w="6637" w:type="dxa"/>
          </w:tcPr>
          <w:p w:rsidR="00E35F20" w:rsidRPr="00E9499F" w:rsidRDefault="00E35F20" w:rsidP="00C53745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Impédance de court circuit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9499F" w:rsidP="00053EF3">
            <w:pPr>
              <w:autoSpaceDE w:val="0"/>
              <w:autoSpaceDN w:val="0"/>
              <w:adjustRightInd w:val="0"/>
              <w:jc w:val="both"/>
              <w:rPr>
                <w:rFonts w:asciiTheme="majorBidi" w:eastAsiaTheme="minorEastAsia" w:hAnsiTheme="majorBidi" w:cstheme="majorBidi"/>
                <w:b w:val="0"/>
                <w:bCs w:val="0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Ω</m:t>
                </m:r>
                <m:r>
                  <m:rPr>
                    <m:sty m:val="b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="Cambria Math" w:hAnsi="Cambria Math" w:cs="Times New Roman"/>
                <w:sz w:val="24"/>
                <w:szCs w:val="24"/>
              </w:rPr>
              <w:t>Vitesse linéaire périphérique en bout de pale de l’hélice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 xml:space="preserve">Ω_m  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="Cambria Math" w:hAnsi="Cambria Math" w:cs="Times New Roman"/>
                <w:sz w:val="24"/>
                <w:szCs w:val="24"/>
              </w:rPr>
            </w:pPr>
            <w:r w:rsidRPr="00E9499F">
              <w:rPr>
                <w:rFonts w:ascii="Cambria Math" w:hAnsi="Cambria Math" w:cs="Times New Roman"/>
                <w:sz w:val="24"/>
                <w:szCs w:val="24"/>
              </w:rPr>
              <w:t>Vitesse de rotation de la MADA</w:t>
            </w:r>
          </w:p>
        </w:tc>
      </w:tr>
      <w:tr w:rsidR="00A17917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9499F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∇P</m:t>
                </m:r>
              </m:oMath>
            </m:oMathPara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Variation de puissance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9499F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∇f</m:t>
                </m:r>
              </m:oMath>
            </m:oMathPara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Variation de fréquence</w:t>
            </w:r>
          </w:p>
        </w:tc>
      </w:tr>
      <w:tr w:rsidR="000F6636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0F6636" w:rsidRDefault="000F6636" w:rsidP="00053EF3">
            <w:pPr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∇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H</m:t>
                </m:r>
              </m:oMath>
            </m:oMathPara>
          </w:p>
        </w:tc>
        <w:tc>
          <w:tcPr>
            <w:tcW w:w="6637" w:type="dxa"/>
          </w:tcPr>
          <w:p w:rsidR="000F6636" w:rsidRPr="000F6636" w:rsidRDefault="000F6636" w:rsidP="000F6636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La variation d’enthalpie en Joules [J]</w:t>
            </w:r>
          </w:p>
        </w:tc>
      </w:tr>
      <w:tr w:rsidR="00A17917" w:rsidRPr="00E9499F" w:rsidTr="00D753F9">
        <w:tc>
          <w:tcPr>
            <w:cnfStyle w:val="001000000000"/>
            <w:tcW w:w="1809" w:type="dxa"/>
          </w:tcPr>
          <w:p w:rsidR="00E35F20" w:rsidRPr="00E9499F" w:rsidRDefault="00E9499F" w:rsidP="00053EF3">
            <w:pPr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∇V</m:t>
                </m:r>
              </m:oMath>
            </m:oMathPara>
          </w:p>
        </w:tc>
        <w:tc>
          <w:tcPr>
            <w:tcW w:w="6637" w:type="dxa"/>
          </w:tcPr>
          <w:p w:rsidR="00E35F20" w:rsidRPr="00E9499F" w:rsidRDefault="00E35F20" w:rsidP="00053EF3">
            <w:pPr>
              <w:jc w:val="both"/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Chute de Tension dans la ligne</w:t>
            </w:r>
          </w:p>
        </w:tc>
      </w:tr>
      <w:tr w:rsidR="00C15FF9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C15FF9" w:rsidRPr="00C15FF9" w:rsidRDefault="00C15FF9" w:rsidP="00C15FF9">
            <w:pPr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∇U</m:t>
                </m:r>
              </m:oMath>
            </m:oMathPara>
          </w:p>
        </w:tc>
        <w:tc>
          <w:tcPr>
            <w:tcW w:w="6637" w:type="dxa"/>
          </w:tcPr>
          <w:p w:rsidR="00C15FF9" w:rsidRPr="00C15FF9" w:rsidRDefault="00C15FF9" w:rsidP="00C15FF9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La variation d’énergie interne en Joules [J]</w:t>
            </w:r>
          </w:p>
        </w:tc>
      </w:tr>
      <w:tr w:rsidR="00FD59AB" w:rsidRPr="00E9499F" w:rsidTr="00D753F9">
        <w:tc>
          <w:tcPr>
            <w:cnfStyle w:val="001000000000"/>
            <w:tcW w:w="1809" w:type="dxa"/>
          </w:tcPr>
          <w:p w:rsidR="00FD59AB" w:rsidRPr="00C15FF9" w:rsidRDefault="00FD59AB" w:rsidP="00C15FF9">
            <w:pPr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∇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6637" w:type="dxa"/>
          </w:tcPr>
          <w:p w:rsidR="00FD59AB" w:rsidRPr="0063309A" w:rsidRDefault="00FD59AB" w:rsidP="00C15FF9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La variation de la température T</w:t>
            </w:r>
            <w:r w:rsidRPr="0063309A">
              <w:rPr>
                <w:rFonts w:ascii="Times New Roman" w:hAnsi="Times New Roman" w:cs="Times New Roman"/>
                <w:vertAlign w:val="subscript"/>
              </w:rPr>
              <w:t>B</w:t>
            </w:r>
            <w:r w:rsidRPr="0063309A">
              <w:rPr>
                <w:rFonts w:ascii="Times New Roman" w:hAnsi="Times New Roman" w:cs="Times New Roman"/>
              </w:rPr>
              <w:t xml:space="preserve"> – T</w:t>
            </w:r>
            <w:r w:rsidRPr="0063309A">
              <w:rPr>
                <w:rFonts w:ascii="Times New Roman" w:hAnsi="Times New Roman" w:cs="Times New Roman"/>
                <w:vertAlign w:val="subscript"/>
              </w:rPr>
              <w:t>A</w:t>
            </w:r>
            <w:r w:rsidRPr="0063309A">
              <w:rPr>
                <w:rFonts w:ascii="Times New Roman" w:hAnsi="Times New Roman" w:cs="Times New Roman"/>
              </w:rPr>
              <w:t xml:space="preserve"> du corps en kelvins [K]</w:t>
            </w:r>
          </w:p>
        </w:tc>
      </w:tr>
      <w:tr w:rsidR="000F6636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0F6636" w:rsidRPr="00C15FF9" w:rsidRDefault="0085798B" w:rsidP="00C15FF9">
            <w:pPr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∇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U</m:t>
                </m:r>
              </m:oMath>
            </m:oMathPara>
          </w:p>
        </w:tc>
        <w:tc>
          <w:tcPr>
            <w:tcW w:w="6637" w:type="dxa"/>
          </w:tcPr>
          <w:p w:rsidR="000F6636" w:rsidRPr="0063309A" w:rsidRDefault="000F6636" w:rsidP="0085798B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La variation d’enthalpie en Joules [J]</w:t>
            </w:r>
          </w:p>
        </w:tc>
      </w:tr>
      <w:tr w:rsidR="0085798B" w:rsidRPr="00E9499F" w:rsidTr="00D753F9">
        <w:tc>
          <w:tcPr>
            <w:cnfStyle w:val="001000000000"/>
            <w:tcW w:w="1809" w:type="dxa"/>
          </w:tcPr>
          <w:p w:rsidR="0085798B" w:rsidRPr="006F4629" w:rsidRDefault="006F4629" w:rsidP="00C15FF9">
            <w:pPr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w:r w:rsidRPr="006F4629">
              <w:rPr>
                <w:rFonts w:ascii="Symbol" w:hAnsi="Symbol"/>
                <w:b w:val="0"/>
                <w:bCs w:val="0"/>
              </w:rPr>
              <w:t></w:t>
            </w:r>
            <w:r w:rsidRPr="006F4629">
              <w:rPr>
                <w:rFonts w:ascii="Comic Sans MS" w:hAnsi="Comic Sans MS"/>
                <w:b w:val="0"/>
                <w:bCs w:val="0"/>
              </w:rPr>
              <w:t>U</w:t>
            </w:r>
            <w:r w:rsidRPr="006F4629">
              <w:rPr>
                <w:rFonts w:ascii="Comic Sans MS" w:hAnsi="Comic Sans MS"/>
                <w:b w:val="0"/>
                <w:bCs w:val="0"/>
                <w:vertAlign w:val="subscript"/>
              </w:rPr>
              <w:t>AB</w:t>
            </w:r>
          </w:p>
        </w:tc>
        <w:tc>
          <w:tcPr>
            <w:tcW w:w="6637" w:type="dxa"/>
          </w:tcPr>
          <w:p w:rsidR="0085798B" w:rsidRPr="0063309A" w:rsidRDefault="0085798B" w:rsidP="006F4629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L’énergie interne du système en Joules [J]</w:t>
            </w:r>
          </w:p>
        </w:tc>
      </w:tr>
      <w:tr w:rsidR="0085798B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85798B" w:rsidRPr="006F4629" w:rsidRDefault="006F4629" w:rsidP="00C15FF9">
            <w:pPr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w:r w:rsidRPr="006F4629">
              <w:rPr>
                <w:rFonts w:ascii="Times New Roman" w:hAnsi="Times New Roman" w:cs="Times New Roman"/>
                <w:b w:val="0"/>
                <w:bCs w:val="0"/>
              </w:rPr>
              <w:t>W</w:t>
            </w:r>
            <w:r w:rsidRPr="006F4629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AB</w:t>
            </w:r>
          </w:p>
        </w:tc>
        <w:tc>
          <w:tcPr>
            <w:tcW w:w="6637" w:type="dxa"/>
          </w:tcPr>
          <w:p w:rsidR="0085798B" w:rsidRPr="0085798B" w:rsidRDefault="0085798B" w:rsidP="0085798B">
            <w:pPr>
              <w:spacing w:line="276" w:lineRule="auto"/>
              <w:ind w:right="-28"/>
              <w:cnfStyle w:val="000000100000"/>
              <w:rPr>
                <w:rFonts w:ascii="Times New Roman" w:hAnsi="Times New Roman" w:cs="Times New Roman"/>
                <w:color w:val="FF0000"/>
              </w:rPr>
            </w:pPr>
            <w:r w:rsidRPr="0063309A">
              <w:rPr>
                <w:rFonts w:ascii="Times New Roman" w:hAnsi="Times New Roman" w:cs="Times New Roman"/>
              </w:rPr>
              <w:t>L’énergie totale sous forme de travail en Joules [J]</w:t>
            </w:r>
          </w:p>
        </w:tc>
      </w:tr>
      <w:tr w:rsidR="0085798B" w:rsidRPr="00E9499F" w:rsidTr="00D753F9">
        <w:tc>
          <w:tcPr>
            <w:cnfStyle w:val="001000000000"/>
            <w:tcW w:w="1809" w:type="dxa"/>
          </w:tcPr>
          <w:p w:rsidR="0085798B" w:rsidRPr="006F4629" w:rsidRDefault="006F4629" w:rsidP="00C15FF9">
            <w:pPr>
              <w:jc w:val="both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w:r w:rsidRPr="006F4629">
              <w:rPr>
                <w:rFonts w:ascii="Times New Roman" w:hAnsi="Times New Roman" w:cs="Times New Roman"/>
                <w:b w:val="0"/>
                <w:bCs w:val="0"/>
              </w:rPr>
              <w:t>Q</w:t>
            </w:r>
            <w:r w:rsidRPr="006F4629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AB</w:t>
            </w:r>
          </w:p>
        </w:tc>
        <w:tc>
          <w:tcPr>
            <w:tcW w:w="6637" w:type="dxa"/>
          </w:tcPr>
          <w:p w:rsidR="0085798B" w:rsidRPr="0063309A" w:rsidRDefault="0085798B" w:rsidP="0085798B">
            <w:pPr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63309A">
              <w:rPr>
                <w:rFonts w:ascii="Times New Roman" w:hAnsi="Times New Roman" w:cs="Times New Roman"/>
              </w:rPr>
              <w:t>L’énergie totale sous forme de chaleur en Joules [J]</w:t>
            </w:r>
          </w:p>
        </w:tc>
      </w:tr>
      <w:tr w:rsidR="000F6636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6F4629" w:rsidRDefault="006F4629" w:rsidP="00053EF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>ρ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4"/>
                  <w:szCs w:val="24"/>
                </w:rPr>
                <m:t xml:space="preserve"> </m:t>
              </m:r>
            </m:oMath>
            <w:r w:rsidR="00E35F20" w:rsidRPr="006F462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637" w:type="dxa"/>
          </w:tcPr>
          <w:p w:rsidR="00E35F20" w:rsidRPr="00E9499F" w:rsidRDefault="00E35F20" w:rsidP="00053EF3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>Densité de l'air 1.225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kg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sup>
              </m:sSup>
            </m:oMath>
            <w:r w:rsidRPr="00E9499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à 15 °C</w:t>
            </w:r>
          </w:p>
        </w:tc>
      </w:tr>
      <w:tr w:rsidR="00FD0843" w:rsidRPr="00E9499F" w:rsidTr="00D753F9">
        <w:tc>
          <w:tcPr>
            <w:cnfStyle w:val="001000000000"/>
            <w:tcW w:w="1809" w:type="dxa"/>
          </w:tcPr>
          <w:p w:rsidR="00FD0843" w:rsidRPr="00FD0843" w:rsidRDefault="00FD0843" w:rsidP="00053EF3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w:r w:rsidRPr="00FD0843">
              <w:rPr>
                <w:rFonts w:ascii="Symbol" w:hAnsi="Symbol"/>
                <w:b w:val="0"/>
                <w:bCs w:val="0"/>
              </w:rPr>
              <w:t></w:t>
            </w:r>
          </w:p>
        </w:tc>
        <w:tc>
          <w:tcPr>
            <w:tcW w:w="6637" w:type="dxa"/>
          </w:tcPr>
          <w:p w:rsidR="00FD0843" w:rsidRPr="00E9499F" w:rsidRDefault="00FD0843" w:rsidP="00053EF3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47462">
              <w:rPr>
                <w:rFonts w:ascii="Times New Roman" w:hAnsi="Times New Roman" w:cs="Times New Roman"/>
              </w:rPr>
              <w:t>Le rapport des capacités thermiques molaires à pression et volume constants</w:t>
            </w:r>
          </w:p>
        </w:tc>
      </w:tr>
      <w:tr w:rsidR="000F6636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9499F" w:rsidP="00053EF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β</m:t>
                </m:r>
              </m:oMath>
            </m:oMathPara>
          </w:p>
        </w:tc>
        <w:tc>
          <w:tcPr>
            <w:tcW w:w="6637" w:type="dxa"/>
          </w:tcPr>
          <w:p w:rsidR="00E35F20" w:rsidRPr="00E9499F" w:rsidRDefault="00E35F20" w:rsidP="008F2AB3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E9499F">
              <w:rPr>
                <w:rFonts w:ascii="Times New Roman" w:hAnsi="Times New Roman" w:cs="Times New Roman"/>
                <w:sz w:val="24"/>
                <w:szCs w:val="24"/>
              </w:rPr>
              <w:t xml:space="preserve">Angle de calage </w:t>
            </w:r>
          </w:p>
        </w:tc>
      </w:tr>
      <w:tr w:rsidR="000F6636" w:rsidRPr="00E9499F" w:rsidTr="00D753F9"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λ</w:t>
            </w:r>
          </w:p>
        </w:tc>
        <w:tc>
          <w:tcPr>
            <w:tcW w:w="6637" w:type="dxa"/>
          </w:tcPr>
          <w:p w:rsidR="00E35F20" w:rsidRPr="00E9499F" w:rsidRDefault="00E35F20" w:rsidP="009E2DF6">
            <w:pPr>
              <w:tabs>
                <w:tab w:val="left" w:pos="3402"/>
                <w:tab w:val="right" w:pos="9072"/>
              </w:tabs>
              <w:cnfStyle w:val="0000000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La vitesse relative représentant le rapport entre la vitesse linéaire à l’extrémité des pales de l’éolienne et la vitesse du vent,</w:t>
            </w:r>
          </w:p>
        </w:tc>
      </w:tr>
      <w:tr w:rsidR="000F6636" w:rsidRPr="00E9499F" w:rsidTr="00D753F9">
        <w:trPr>
          <w:cnfStyle w:val="000000100000"/>
        </w:trPr>
        <w:tc>
          <w:tcPr>
            <w:cnfStyle w:val="001000000000"/>
            <w:tcW w:w="1809" w:type="dxa"/>
          </w:tcPr>
          <w:p w:rsidR="00E35F20" w:rsidRPr="00E9499F" w:rsidRDefault="00E35F20" w:rsidP="00053EF3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</w:pPr>
            <w:r w:rsidRPr="00E9499F"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Φ</w:t>
            </w:r>
          </w:p>
        </w:tc>
        <w:tc>
          <w:tcPr>
            <w:tcW w:w="6637" w:type="dxa"/>
          </w:tcPr>
          <w:p w:rsidR="00E35F20" w:rsidRPr="00E9499F" w:rsidRDefault="00E35F20" w:rsidP="009E2DF6">
            <w:pPr>
              <w:tabs>
                <w:tab w:val="left" w:pos="3402"/>
                <w:tab w:val="right" w:pos="9072"/>
              </w:tabs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E9499F">
              <w:rPr>
                <w:rFonts w:asciiTheme="majorBidi" w:hAnsiTheme="majorBidi" w:cstheme="majorBidi"/>
                <w:sz w:val="24"/>
                <w:szCs w:val="24"/>
              </w:rPr>
              <w:t>Flux magnétique</w:t>
            </w:r>
          </w:p>
        </w:tc>
      </w:tr>
    </w:tbl>
    <w:p w:rsidR="00016E0C" w:rsidRPr="00E9499F" w:rsidRDefault="00016E0C">
      <w:pPr>
        <w:rPr>
          <w:rFonts w:asciiTheme="majorBidi" w:hAnsiTheme="majorBidi" w:cstheme="majorBidi"/>
          <w:sz w:val="24"/>
          <w:szCs w:val="24"/>
        </w:rPr>
      </w:pPr>
    </w:p>
    <w:sectPr w:rsidR="00016E0C" w:rsidRPr="00E9499F" w:rsidSect="0069061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A29" w:rsidRDefault="00DF0A29" w:rsidP="00BC2E6D">
      <w:pPr>
        <w:spacing w:after="0" w:line="240" w:lineRule="auto"/>
      </w:pPr>
      <w:r>
        <w:separator/>
      </w:r>
    </w:p>
  </w:endnote>
  <w:endnote w:type="continuationSeparator" w:id="1">
    <w:p w:rsidR="00DF0A29" w:rsidRDefault="00DF0A29" w:rsidP="00BC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A29" w:rsidRDefault="00DF0A29" w:rsidP="00BC2E6D">
      <w:pPr>
        <w:spacing w:after="0" w:line="240" w:lineRule="auto"/>
      </w:pPr>
      <w:r>
        <w:separator/>
      </w:r>
    </w:p>
  </w:footnote>
  <w:footnote w:type="continuationSeparator" w:id="1">
    <w:p w:rsidR="00DF0A29" w:rsidRDefault="00DF0A29" w:rsidP="00BC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sz w:val="24"/>
        <w:szCs w:val="24"/>
      </w:rPr>
      <w:alias w:val="Titre"/>
      <w:id w:val="1052368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80E28" w:rsidRDefault="00B80E28" w:rsidP="00B80E28">
        <w:pPr>
          <w:pStyle w:val="En-tte"/>
          <w:pBdr>
            <w:bottom w:val="thickThinSmallGap" w:sz="24" w:space="1" w:color="622423" w:themeColor="accent2" w:themeShade="7F"/>
          </w:pBdr>
          <w:tabs>
            <w:tab w:val="center" w:pos="4536"/>
            <w:tab w:val="right" w:pos="9072"/>
          </w:tabs>
          <w:rPr>
            <w:rFonts w:asciiTheme="majorBidi" w:eastAsiaTheme="majorEastAsia" w:hAnsiTheme="majorBidi" w:cstheme="majorBidi"/>
            <w:b/>
            <w:bCs/>
            <w:sz w:val="24"/>
            <w:szCs w:val="24"/>
          </w:rPr>
        </w:pPr>
        <w:r w:rsidRPr="00B80E28">
          <w:rPr>
            <w:rFonts w:asciiTheme="majorBidi" w:hAnsiTheme="majorBidi" w:cstheme="majorBidi"/>
            <w:b/>
            <w:bCs/>
            <w:sz w:val="24"/>
            <w:szCs w:val="24"/>
          </w:rPr>
          <w:t>Symboles &amp; Abréviations</w:t>
        </w:r>
      </w:p>
    </w:sdtContent>
  </w:sdt>
  <w:p w:rsidR="00BC2E6D" w:rsidRPr="00BC2E6D" w:rsidRDefault="00BC2E6D" w:rsidP="00BC2E6D">
    <w:pPr>
      <w:pStyle w:val="En-tte"/>
      <w:ind w:left="2832"/>
    </w:pPr>
    <w:r>
      <w:rPr>
        <w:rFonts w:ascii="Calibri" w:eastAsia="Calibri" w:hAnsi="Calibri" w:cs="Arial"/>
        <w:i/>
        <w:iCs/>
        <w:u w:val="single"/>
      </w:rPr>
      <w:t xml:space="preserve">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E0C"/>
    <w:rsid w:val="00016E0C"/>
    <w:rsid w:val="00045BB0"/>
    <w:rsid w:val="00083B25"/>
    <w:rsid w:val="0008691A"/>
    <w:rsid w:val="000F6636"/>
    <w:rsid w:val="0010420E"/>
    <w:rsid w:val="0013337A"/>
    <w:rsid w:val="0014602E"/>
    <w:rsid w:val="00181ADC"/>
    <w:rsid w:val="001D6719"/>
    <w:rsid w:val="001D7472"/>
    <w:rsid w:val="00207895"/>
    <w:rsid w:val="00284173"/>
    <w:rsid w:val="0028506D"/>
    <w:rsid w:val="002C35DB"/>
    <w:rsid w:val="002D27EB"/>
    <w:rsid w:val="00336AB1"/>
    <w:rsid w:val="00384363"/>
    <w:rsid w:val="00390FF3"/>
    <w:rsid w:val="003A3040"/>
    <w:rsid w:val="003F0BD0"/>
    <w:rsid w:val="004477FB"/>
    <w:rsid w:val="0045321F"/>
    <w:rsid w:val="004A4F14"/>
    <w:rsid w:val="004B2B3F"/>
    <w:rsid w:val="004D0098"/>
    <w:rsid w:val="004D2771"/>
    <w:rsid w:val="004F2B78"/>
    <w:rsid w:val="00541E3E"/>
    <w:rsid w:val="00581670"/>
    <w:rsid w:val="0058380C"/>
    <w:rsid w:val="005957E4"/>
    <w:rsid w:val="005F15B5"/>
    <w:rsid w:val="00611CA7"/>
    <w:rsid w:val="00620EF2"/>
    <w:rsid w:val="006274B3"/>
    <w:rsid w:val="0063534E"/>
    <w:rsid w:val="00643F01"/>
    <w:rsid w:val="00650A22"/>
    <w:rsid w:val="00652254"/>
    <w:rsid w:val="00680180"/>
    <w:rsid w:val="0068505C"/>
    <w:rsid w:val="00690615"/>
    <w:rsid w:val="006B7EEC"/>
    <w:rsid w:val="006F4629"/>
    <w:rsid w:val="007030FC"/>
    <w:rsid w:val="00720031"/>
    <w:rsid w:val="00766AA2"/>
    <w:rsid w:val="007A308C"/>
    <w:rsid w:val="007D2C91"/>
    <w:rsid w:val="0085798B"/>
    <w:rsid w:val="008A4F5D"/>
    <w:rsid w:val="008E5D28"/>
    <w:rsid w:val="008F2AB3"/>
    <w:rsid w:val="0090623C"/>
    <w:rsid w:val="009272FA"/>
    <w:rsid w:val="00931BB6"/>
    <w:rsid w:val="00967E79"/>
    <w:rsid w:val="00987F03"/>
    <w:rsid w:val="009B6744"/>
    <w:rsid w:val="009D26CE"/>
    <w:rsid w:val="009E2DF6"/>
    <w:rsid w:val="009E3079"/>
    <w:rsid w:val="009E57E8"/>
    <w:rsid w:val="00A17917"/>
    <w:rsid w:val="00A42918"/>
    <w:rsid w:val="00A70800"/>
    <w:rsid w:val="00A849CA"/>
    <w:rsid w:val="00A85BA9"/>
    <w:rsid w:val="00AD6E43"/>
    <w:rsid w:val="00B07DD2"/>
    <w:rsid w:val="00B5114A"/>
    <w:rsid w:val="00B62E78"/>
    <w:rsid w:val="00B6544A"/>
    <w:rsid w:val="00B80E28"/>
    <w:rsid w:val="00BC0310"/>
    <w:rsid w:val="00BC0460"/>
    <w:rsid w:val="00BC2E6D"/>
    <w:rsid w:val="00C11377"/>
    <w:rsid w:val="00C14495"/>
    <w:rsid w:val="00C15FF9"/>
    <w:rsid w:val="00C53745"/>
    <w:rsid w:val="00C73C35"/>
    <w:rsid w:val="00C85668"/>
    <w:rsid w:val="00C85B09"/>
    <w:rsid w:val="00C85EC3"/>
    <w:rsid w:val="00CD6B2E"/>
    <w:rsid w:val="00D73983"/>
    <w:rsid w:val="00D753F9"/>
    <w:rsid w:val="00DB03C6"/>
    <w:rsid w:val="00DE4B23"/>
    <w:rsid w:val="00DF0A29"/>
    <w:rsid w:val="00DF67A3"/>
    <w:rsid w:val="00E13516"/>
    <w:rsid w:val="00E26883"/>
    <w:rsid w:val="00E35F20"/>
    <w:rsid w:val="00E90406"/>
    <w:rsid w:val="00E9499F"/>
    <w:rsid w:val="00EA4F46"/>
    <w:rsid w:val="00EB14EF"/>
    <w:rsid w:val="00EF4A35"/>
    <w:rsid w:val="00F37A62"/>
    <w:rsid w:val="00F444C1"/>
    <w:rsid w:val="00F50AA9"/>
    <w:rsid w:val="00FD0843"/>
    <w:rsid w:val="00FD59AB"/>
    <w:rsid w:val="00FE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61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6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E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2E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E6D"/>
  </w:style>
  <w:style w:type="paragraph" w:styleId="Pieddepage">
    <w:name w:val="footer"/>
    <w:basedOn w:val="Normal"/>
    <w:link w:val="PieddepageCar"/>
    <w:uiPriority w:val="99"/>
    <w:semiHidden/>
    <w:unhideWhenUsed/>
    <w:rsid w:val="00BC2E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2E6D"/>
  </w:style>
  <w:style w:type="table" w:styleId="Grillemoyenne1-Accent3">
    <w:name w:val="Medium Grid 1 Accent 3"/>
    <w:basedOn w:val="TableauNormal"/>
    <w:uiPriority w:val="67"/>
    <w:rsid w:val="00D753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0AB6-E438-4E75-9463-569DAA82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Symboles &amp; Abréviations</vt:lpstr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Symboles &amp; Abréviations</dc:title>
  <dc:creator>pc</dc:creator>
  <cp:lastModifiedBy>AHM</cp:lastModifiedBy>
  <cp:revision>2</cp:revision>
  <cp:lastPrinted>2014-05-11T22:51:00Z</cp:lastPrinted>
  <dcterms:created xsi:type="dcterms:W3CDTF">2015-12-12T23:56:00Z</dcterms:created>
  <dcterms:modified xsi:type="dcterms:W3CDTF">2015-12-12T23:56:00Z</dcterms:modified>
</cp:coreProperties>
</file>